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4EC2" w14:textId="77777777" w:rsidR="00C27B23" w:rsidRPr="00EF5169" w:rsidRDefault="0048249A">
      <w:pPr>
        <w:pStyle w:val="Titolo"/>
        <w:pageBreakBefore/>
        <w:rPr>
          <w:rFonts w:ascii="Titillium" w:hAnsi="Titillium"/>
          <w:color w:val="002060"/>
          <w:sz w:val="20"/>
          <w:szCs w:val="20"/>
        </w:rPr>
      </w:pPr>
      <w:r w:rsidRPr="00EF5169">
        <w:rPr>
          <w:rFonts w:ascii="Titillium" w:hAnsi="Titillium"/>
          <w:color w:val="002060"/>
          <w:sz w:val="20"/>
          <w:szCs w:val="20"/>
        </w:rPr>
        <w:t xml:space="preserve">Scheda di sintesi sulla rilevazione degli OIV o </w:t>
      </w:r>
      <w:r w:rsidR="009A5646" w:rsidRPr="00EF5169">
        <w:rPr>
          <w:rFonts w:ascii="Titillium" w:hAnsi="Titillium"/>
          <w:color w:val="002060"/>
          <w:sz w:val="20"/>
          <w:szCs w:val="20"/>
        </w:rPr>
        <w:t>organismi con funzioni analoghe</w:t>
      </w:r>
    </w:p>
    <w:p w14:paraId="445F1F40" w14:textId="77777777" w:rsidR="00C27B23" w:rsidRPr="00EF5169" w:rsidRDefault="00C27B23">
      <w:pPr>
        <w:pStyle w:val="Paragrafoelenco"/>
        <w:ind w:left="0" w:firstLine="0"/>
        <w:rPr>
          <w:rFonts w:ascii="Titillium" w:hAnsi="Titillium"/>
          <w:color w:val="002060"/>
          <w:sz w:val="20"/>
          <w:szCs w:val="20"/>
        </w:rPr>
      </w:pPr>
    </w:p>
    <w:p w14:paraId="103EABA0" w14:textId="4B026B4A" w:rsidR="003C642D" w:rsidRPr="00EF5169" w:rsidRDefault="002F665B" w:rsidP="002F665B">
      <w:pPr>
        <w:spacing w:line="0" w:lineRule="atLeast"/>
        <w:rPr>
          <w:rFonts w:ascii="Bookman Old Style" w:hAnsi="Bookman Old Style"/>
          <w:b/>
          <w:color w:val="002060"/>
          <w:sz w:val="44"/>
        </w:rPr>
      </w:pPr>
      <w:bookmarkStart w:id="0" w:name="page1"/>
      <w:bookmarkEnd w:id="0"/>
      <w:r>
        <w:rPr>
          <w:rFonts w:ascii="Bookman Old Style" w:hAnsi="Bookman Old Style"/>
          <w:b/>
          <w:color w:val="002060"/>
          <w:sz w:val="44"/>
        </w:rPr>
        <w:t xml:space="preserve">           COMUNE DI ROCCA DI PAPA</w:t>
      </w:r>
    </w:p>
    <w:p w14:paraId="0519304B" w14:textId="19115590" w:rsidR="003C642D" w:rsidRPr="00EF5169" w:rsidRDefault="005952A6" w:rsidP="005952A6">
      <w:pPr>
        <w:spacing w:line="0" w:lineRule="atLeast"/>
        <w:rPr>
          <w:rFonts w:ascii="Bookman Old Style" w:hAnsi="Bookman Old Style"/>
          <w:b/>
          <w:i/>
          <w:color w:val="002060"/>
        </w:rPr>
      </w:pPr>
      <w:r w:rsidRPr="00EF5169">
        <w:rPr>
          <w:rFonts w:ascii="Bookman Old Style" w:hAnsi="Bookman Old Style"/>
          <w:color w:val="002060"/>
        </w:rPr>
        <w:t xml:space="preserve">                                  </w:t>
      </w:r>
      <w:r w:rsidR="003C642D" w:rsidRPr="00EF5169">
        <w:rPr>
          <w:rFonts w:ascii="Bookman Old Style" w:hAnsi="Bookman Old Style"/>
          <w:b/>
          <w:i/>
          <w:color w:val="002060"/>
        </w:rPr>
        <w:t>Città Metropolitana di Roma Capitale</w:t>
      </w:r>
    </w:p>
    <w:p w14:paraId="325E5123" w14:textId="77777777" w:rsidR="003C642D" w:rsidRPr="00EF5169" w:rsidRDefault="003C642D" w:rsidP="003C642D">
      <w:pPr>
        <w:spacing w:line="180" w:lineRule="exact"/>
        <w:rPr>
          <w:rFonts w:ascii="Bookman Old Style" w:hAnsi="Bookman Old Style"/>
          <w:color w:val="002060"/>
        </w:rPr>
      </w:pPr>
    </w:p>
    <w:p w14:paraId="675B85C7" w14:textId="77777777" w:rsidR="003C642D" w:rsidRPr="00EF5169" w:rsidRDefault="003C642D" w:rsidP="003C642D">
      <w:pPr>
        <w:spacing w:line="0" w:lineRule="atLeast"/>
        <w:ind w:right="-99"/>
        <w:jc w:val="center"/>
        <w:rPr>
          <w:rFonts w:ascii="Bookman Old Style" w:eastAsia="Bodoni MT Black" w:hAnsi="Bookman Old Style"/>
          <w:b/>
          <w:color w:val="002060"/>
        </w:rPr>
      </w:pPr>
      <w:r w:rsidRPr="00EF5169">
        <w:rPr>
          <w:rFonts w:ascii="Bookman Old Style" w:eastAsia="Bodoni MT Black" w:hAnsi="Bookman Old Style"/>
          <w:b/>
          <w:color w:val="002060"/>
        </w:rPr>
        <w:t>IL NUCLEO INDIPENDENTE DI VALUTAZIONE</w:t>
      </w:r>
    </w:p>
    <w:p w14:paraId="3D2809DF" w14:textId="77777777" w:rsidR="003C642D" w:rsidRPr="00EF5169" w:rsidRDefault="003C642D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color w:val="002060"/>
          <w:sz w:val="20"/>
          <w:szCs w:val="20"/>
        </w:rPr>
      </w:pPr>
    </w:p>
    <w:p w14:paraId="440F7D0A" w14:textId="77777777" w:rsidR="00C27B23" w:rsidRPr="00EF5169" w:rsidRDefault="0048249A" w:rsidP="003C642D">
      <w:pPr>
        <w:pStyle w:val="Paragrafoelenco"/>
        <w:numPr>
          <w:ilvl w:val="0"/>
          <w:numId w:val="5"/>
        </w:numPr>
        <w:spacing w:line="360" w:lineRule="auto"/>
        <w:rPr>
          <w:rFonts w:ascii="Titillium" w:hAnsi="Titillium"/>
          <w:b/>
          <w:i/>
          <w:color w:val="002060"/>
          <w:sz w:val="20"/>
          <w:szCs w:val="20"/>
        </w:rPr>
      </w:pPr>
      <w:r w:rsidRPr="00EF5169">
        <w:rPr>
          <w:rFonts w:ascii="Titillium" w:hAnsi="Titillium"/>
          <w:b/>
          <w:i/>
          <w:color w:val="002060"/>
          <w:sz w:val="20"/>
          <w:szCs w:val="20"/>
        </w:rPr>
        <w:t>Data di svolgimento della rilevazione</w:t>
      </w:r>
    </w:p>
    <w:p w14:paraId="213CB7FC" w14:textId="0487D090" w:rsidR="00AF75F8" w:rsidRPr="00EF5169" w:rsidRDefault="003C642D">
      <w:pPr>
        <w:pStyle w:val="Paragrafoelenco"/>
        <w:spacing w:after="0" w:line="276" w:lineRule="auto"/>
        <w:ind w:left="0" w:firstLine="0"/>
        <w:rPr>
          <w:rFonts w:ascii="Titillium" w:hAnsi="Titillium"/>
          <w:color w:val="002060"/>
          <w:sz w:val="20"/>
          <w:szCs w:val="20"/>
        </w:rPr>
      </w:pPr>
      <w:r w:rsidRPr="00EF5169">
        <w:rPr>
          <w:rFonts w:ascii="Titillium" w:hAnsi="Titillium"/>
          <w:color w:val="002060"/>
          <w:sz w:val="20"/>
          <w:szCs w:val="20"/>
        </w:rPr>
        <w:t>L’organismo di valutazione, ancor prima delle indicazioni operative rese note dall’ANAC con la delibera n.294/2021,</w:t>
      </w:r>
      <w:r w:rsidR="00115D63" w:rsidRPr="00EF5169">
        <w:rPr>
          <w:rFonts w:ascii="Titillium" w:hAnsi="Titillium"/>
          <w:color w:val="002060"/>
          <w:sz w:val="20"/>
          <w:szCs w:val="20"/>
        </w:rPr>
        <w:t xml:space="preserve"> </w:t>
      </w:r>
      <w:r w:rsidRPr="00EF5169">
        <w:rPr>
          <w:rFonts w:ascii="Titillium" w:hAnsi="Titillium"/>
          <w:color w:val="002060"/>
          <w:sz w:val="20"/>
          <w:szCs w:val="20"/>
        </w:rPr>
        <w:t>ha</w:t>
      </w:r>
      <w:r w:rsidR="002F665B">
        <w:rPr>
          <w:rFonts w:ascii="Titillium" w:hAnsi="Titillium"/>
          <w:color w:val="002060"/>
          <w:sz w:val="20"/>
          <w:szCs w:val="20"/>
        </w:rPr>
        <w:t xml:space="preserve"> avviato ed</w:t>
      </w:r>
      <w:r w:rsidRPr="00EF5169">
        <w:rPr>
          <w:rFonts w:ascii="Titillium" w:hAnsi="Titillium"/>
          <w:color w:val="002060"/>
          <w:sz w:val="20"/>
          <w:szCs w:val="20"/>
        </w:rPr>
        <w:t xml:space="preserve"> effettuato nel mese di aprile un</w:t>
      </w:r>
      <w:r w:rsidR="00AF75F8" w:rsidRPr="00EF5169">
        <w:rPr>
          <w:rFonts w:ascii="Titillium" w:hAnsi="Titillium"/>
          <w:color w:val="002060"/>
          <w:sz w:val="20"/>
          <w:szCs w:val="20"/>
        </w:rPr>
        <w:t>a</w:t>
      </w:r>
      <w:r w:rsidRPr="00EF5169">
        <w:rPr>
          <w:rFonts w:ascii="Titillium" w:hAnsi="Titillium"/>
          <w:color w:val="002060"/>
          <w:sz w:val="20"/>
          <w:szCs w:val="20"/>
        </w:rPr>
        <w:t xml:space="preserve"> preliminare ed esplorativa verifica,</w:t>
      </w:r>
      <w:r w:rsidR="00AF75F8" w:rsidRPr="00EF5169">
        <w:rPr>
          <w:rFonts w:ascii="Titillium" w:hAnsi="Titillium"/>
          <w:color w:val="002060"/>
          <w:sz w:val="20"/>
          <w:szCs w:val="20"/>
        </w:rPr>
        <w:t xml:space="preserve"> </w:t>
      </w:r>
      <w:r w:rsidRPr="00EF5169">
        <w:rPr>
          <w:rFonts w:ascii="Titillium" w:hAnsi="Titillium"/>
          <w:color w:val="002060"/>
          <w:sz w:val="20"/>
          <w:szCs w:val="20"/>
        </w:rPr>
        <w:t>a campione,</w:t>
      </w:r>
      <w:r w:rsidR="00AF75F8" w:rsidRPr="00EF5169">
        <w:rPr>
          <w:rFonts w:ascii="Titillium" w:hAnsi="Titillium"/>
          <w:color w:val="002060"/>
          <w:sz w:val="20"/>
          <w:szCs w:val="20"/>
        </w:rPr>
        <w:t xml:space="preserve"> </w:t>
      </w:r>
      <w:r w:rsidRPr="00EF5169">
        <w:rPr>
          <w:rFonts w:ascii="Titillium" w:hAnsi="Titillium"/>
          <w:color w:val="002060"/>
          <w:sz w:val="20"/>
          <w:szCs w:val="20"/>
        </w:rPr>
        <w:t>su specifiche sezioni ritenute particolarmente sensibili</w:t>
      </w:r>
      <w:r w:rsidR="00AF75F8" w:rsidRPr="00EF5169">
        <w:rPr>
          <w:rFonts w:ascii="Titillium" w:hAnsi="Titillium"/>
          <w:color w:val="002060"/>
          <w:sz w:val="20"/>
          <w:szCs w:val="20"/>
        </w:rPr>
        <w:t>.</w:t>
      </w:r>
    </w:p>
    <w:p w14:paraId="316AFFBC" w14:textId="49F880C9" w:rsidR="00AF75F8" w:rsidRPr="00EF5169" w:rsidRDefault="00AF75F8" w:rsidP="00AF75F8">
      <w:pPr>
        <w:pStyle w:val="Paragrafoelenco"/>
        <w:spacing w:after="0" w:line="276" w:lineRule="auto"/>
        <w:ind w:left="0" w:firstLine="0"/>
        <w:rPr>
          <w:rFonts w:ascii="Titillium" w:hAnsi="Titillium"/>
          <w:color w:val="002060"/>
          <w:sz w:val="20"/>
          <w:szCs w:val="20"/>
        </w:rPr>
      </w:pPr>
      <w:r w:rsidRPr="00EF5169">
        <w:rPr>
          <w:rFonts w:ascii="Titillium" w:hAnsi="Titillium"/>
          <w:color w:val="002060"/>
          <w:sz w:val="20"/>
          <w:szCs w:val="20"/>
        </w:rPr>
        <w:t xml:space="preserve">La compilazione definitiva è avvenuta il 31 maggio 2021 e in data odierna si provvede alla redazione dell’attestazione e della scheda di </w:t>
      </w:r>
      <w:r w:rsidR="00EF5169" w:rsidRPr="00EF5169">
        <w:rPr>
          <w:rFonts w:ascii="Titillium" w:hAnsi="Titillium"/>
          <w:color w:val="002060"/>
          <w:sz w:val="20"/>
          <w:szCs w:val="20"/>
        </w:rPr>
        <w:t>sintesi.</w:t>
      </w:r>
      <w:r w:rsidRPr="00EF5169">
        <w:rPr>
          <w:rFonts w:ascii="Titillium" w:hAnsi="Titillium"/>
          <w:color w:val="002060"/>
          <w:sz w:val="20"/>
          <w:szCs w:val="20"/>
        </w:rPr>
        <w:t xml:space="preserve">  </w:t>
      </w:r>
    </w:p>
    <w:p w14:paraId="70E1AA2F" w14:textId="77777777" w:rsidR="00AF75F8" w:rsidRPr="00EF5169" w:rsidRDefault="00AF75F8" w:rsidP="00AF75F8">
      <w:pPr>
        <w:pStyle w:val="Paragrafoelenco"/>
        <w:spacing w:after="0" w:line="276" w:lineRule="auto"/>
        <w:ind w:left="0" w:firstLine="0"/>
        <w:rPr>
          <w:rFonts w:ascii="Titillium" w:hAnsi="Titillium"/>
          <w:color w:val="002060"/>
          <w:sz w:val="20"/>
          <w:szCs w:val="20"/>
        </w:rPr>
      </w:pPr>
    </w:p>
    <w:p w14:paraId="1C4AB394" w14:textId="77777777" w:rsidR="00C27B23" w:rsidRPr="00EF5169" w:rsidRDefault="0048249A" w:rsidP="00AF75F8">
      <w:pPr>
        <w:pStyle w:val="Paragrafoelenco"/>
        <w:numPr>
          <w:ilvl w:val="0"/>
          <w:numId w:val="5"/>
        </w:numPr>
        <w:spacing w:after="0" w:line="276" w:lineRule="auto"/>
        <w:rPr>
          <w:rFonts w:ascii="Titillium" w:hAnsi="Titillium"/>
          <w:color w:val="002060"/>
          <w:sz w:val="20"/>
          <w:szCs w:val="20"/>
        </w:rPr>
      </w:pPr>
      <w:r w:rsidRPr="00EF5169">
        <w:rPr>
          <w:rFonts w:ascii="Titillium" w:hAnsi="Titillium"/>
          <w:b/>
          <w:i/>
          <w:color w:val="002060"/>
          <w:sz w:val="20"/>
          <w:szCs w:val="20"/>
        </w:rPr>
        <w:t xml:space="preserve">Estensione della rilevazione </w:t>
      </w:r>
    </w:p>
    <w:p w14:paraId="78D7FAD2" w14:textId="77777777" w:rsidR="00AF75F8" w:rsidRPr="00EF5169" w:rsidRDefault="00AF75F8" w:rsidP="00AF75F8">
      <w:pPr>
        <w:pStyle w:val="Paragrafoelenco"/>
        <w:spacing w:after="0"/>
        <w:ind w:left="0" w:firstLine="0"/>
        <w:rPr>
          <w:rFonts w:ascii="Titillium" w:hAnsi="Titillium"/>
          <w:b/>
          <w:i/>
          <w:color w:val="002060"/>
          <w:sz w:val="20"/>
          <w:szCs w:val="20"/>
        </w:rPr>
      </w:pPr>
    </w:p>
    <w:p w14:paraId="10BE4420" w14:textId="77777777" w:rsidR="00C27B23" w:rsidRPr="00EF5169" w:rsidRDefault="00AF75F8" w:rsidP="00AF75F8">
      <w:pPr>
        <w:pStyle w:val="Paragrafoelenco"/>
        <w:spacing w:after="0"/>
        <w:ind w:left="708" w:firstLine="0"/>
        <w:rPr>
          <w:rFonts w:ascii="Titillium" w:hAnsi="Titillium"/>
          <w:color w:val="002060"/>
          <w:sz w:val="20"/>
          <w:szCs w:val="20"/>
        </w:rPr>
      </w:pPr>
      <w:r w:rsidRPr="00EF5169">
        <w:rPr>
          <w:rFonts w:ascii="Titillium" w:hAnsi="Titillium"/>
          <w:color w:val="002060"/>
          <w:sz w:val="20"/>
          <w:szCs w:val="20"/>
        </w:rPr>
        <w:t xml:space="preserve">Non sono presenti nell’Ente uffici periferici, articolazioni o corpi  </w:t>
      </w:r>
    </w:p>
    <w:p w14:paraId="6E484096" w14:textId="77777777" w:rsidR="00C27B23" w:rsidRPr="00EF5169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color w:val="002060"/>
          <w:sz w:val="20"/>
          <w:szCs w:val="20"/>
        </w:rPr>
      </w:pPr>
    </w:p>
    <w:p w14:paraId="64E2A6D6" w14:textId="77777777" w:rsidR="00C27B23" w:rsidRPr="00EF5169" w:rsidRDefault="0048249A" w:rsidP="00AF75F8">
      <w:pPr>
        <w:pStyle w:val="Paragrafoelenco"/>
        <w:numPr>
          <w:ilvl w:val="0"/>
          <w:numId w:val="5"/>
        </w:numPr>
        <w:spacing w:line="360" w:lineRule="auto"/>
        <w:rPr>
          <w:rFonts w:ascii="Titillium" w:hAnsi="Titillium"/>
          <w:b/>
          <w:i/>
          <w:color w:val="002060"/>
          <w:sz w:val="20"/>
          <w:szCs w:val="20"/>
        </w:rPr>
      </w:pPr>
      <w:r w:rsidRPr="00EF5169">
        <w:rPr>
          <w:rFonts w:ascii="Titillium" w:hAnsi="Titillium"/>
          <w:b/>
          <w:i/>
          <w:color w:val="002060"/>
          <w:sz w:val="20"/>
          <w:szCs w:val="20"/>
        </w:rPr>
        <w:t xml:space="preserve">Procedure e modalità seguite per la rilevazione </w:t>
      </w:r>
    </w:p>
    <w:p w14:paraId="662752C1" w14:textId="6819205B" w:rsidR="005C3137" w:rsidRPr="00EF5169" w:rsidRDefault="00633F39" w:rsidP="00AF75F8">
      <w:pPr>
        <w:spacing w:line="360" w:lineRule="auto"/>
        <w:rPr>
          <w:rFonts w:ascii="Titillium" w:hAnsi="Titillium"/>
          <w:color w:val="002060"/>
          <w:sz w:val="20"/>
          <w:szCs w:val="20"/>
        </w:rPr>
      </w:pPr>
      <w:r w:rsidRPr="00EF5169">
        <w:rPr>
          <w:rFonts w:ascii="Titillium" w:hAnsi="Titillium"/>
          <w:color w:val="002060"/>
          <w:sz w:val="20"/>
          <w:szCs w:val="20"/>
        </w:rPr>
        <w:t>Il</w:t>
      </w:r>
      <w:r w:rsidR="00AF75F8" w:rsidRPr="00EF5169">
        <w:rPr>
          <w:rFonts w:ascii="Titillium" w:hAnsi="Titillium"/>
          <w:color w:val="002060"/>
          <w:sz w:val="20"/>
          <w:szCs w:val="20"/>
        </w:rPr>
        <w:t xml:space="preserve"> Nucleo</w:t>
      </w:r>
      <w:r w:rsidRPr="00EF5169">
        <w:rPr>
          <w:rFonts w:ascii="Titillium" w:hAnsi="Titillium"/>
          <w:color w:val="002060"/>
          <w:sz w:val="20"/>
          <w:szCs w:val="20"/>
        </w:rPr>
        <w:t xml:space="preserve"> nell’espletamento dell’attività di verifica </w:t>
      </w:r>
      <w:r w:rsidR="005C3137" w:rsidRPr="00EF5169">
        <w:rPr>
          <w:rFonts w:ascii="Titillium" w:hAnsi="Titillium"/>
          <w:color w:val="002060"/>
          <w:sz w:val="20"/>
          <w:szCs w:val="20"/>
        </w:rPr>
        <w:t xml:space="preserve">e per una maggiore </w:t>
      </w:r>
      <w:r w:rsidR="00EF5169" w:rsidRPr="00EF5169">
        <w:rPr>
          <w:rFonts w:ascii="Titillium" w:hAnsi="Titillium"/>
          <w:color w:val="002060"/>
          <w:sz w:val="20"/>
          <w:szCs w:val="20"/>
        </w:rPr>
        <w:t>e puntuale</w:t>
      </w:r>
      <w:r w:rsidR="005C3137" w:rsidRPr="00EF5169">
        <w:rPr>
          <w:rFonts w:ascii="Titillium" w:hAnsi="Titillium"/>
          <w:color w:val="002060"/>
          <w:sz w:val="20"/>
          <w:szCs w:val="20"/>
        </w:rPr>
        <w:t xml:space="preserve"> interpretazione dei contenuti delle richieste inserite nella griglia di rilevazione, </w:t>
      </w:r>
      <w:r w:rsidRPr="00EF5169">
        <w:rPr>
          <w:rFonts w:ascii="Titillium" w:hAnsi="Titillium"/>
          <w:color w:val="002060"/>
          <w:sz w:val="20"/>
          <w:szCs w:val="20"/>
        </w:rPr>
        <w:t xml:space="preserve">ha osservato i criteri di </w:t>
      </w:r>
      <w:r w:rsidR="005C3137" w:rsidRPr="00EF5169">
        <w:rPr>
          <w:rFonts w:ascii="Titillium" w:hAnsi="Titillium"/>
          <w:color w:val="002060"/>
          <w:sz w:val="20"/>
          <w:szCs w:val="20"/>
        </w:rPr>
        <w:t>compilazione indicati</w:t>
      </w:r>
      <w:r w:rsidRPr="00EF5169">
        <w:rPr>
          <w:rFonts w:ascii="Titillium" w:hAnsi="Titillium"/>
          <w:color w:val="002060"/>
          <w:sz w:val="20"/>
          <w:szCs w:val="20"/>
        </w:rPr>
        <w:t xml:space="preserve"> nell’allegato 4 della richiamata delibera 294/2021 </w:t>
      </w:r>
      <w:r w:rsidR="005C3137" w:rsidRPr="00EF5169">
        <w:rPr>
          <w:rFonts w:ascii="Titillium" w:hAnsi="Titillium"/>
          <w:color w:val="002060"/>
          <w:sz w:val="20"/>
          <w:szCs w:val="20"/>
        </w:rPr>
        <w:t xml:space="preserve">e si è avvalso </w:t>
      </w:r>
      <w:r w:rsidRPr="00EF5169">
        <w:rPr>
          <w:rFonts w:ascii="Titillium" w:hAnsi="Titillium"/>
          <w:color w:val="002060"/>
          <w:sz w:val="20"/>
          <w:szCs w:val="20"/>
        </w:rPr>
        <w:t xml:space="preserve">del contenuto delle FAQ </w:t>
      </w:r>
      <w:r w:rsidR="005C3137" w:rsidRPr="00EF5169">
        <w:rPr>
          <w:rFonts w:ascii="Titillium" w:hAnsi="Titillium"/>
          <w:color w:val="002060"/>
          <w:sz w:val="20"/>
          <w:szCs w:val="20"/>
        </w:rPr>
        <w:t>dell’A.N.A.C. in materia di trasparenza, sull’applicazione del d.lgs.n.33/2013 e del d.lgs. n. 97/2016.</w:t>
      </w:r>
    </w:p>
    <w:p w14:paraId="0D9EAF5A" w14:textId="0CC0FC03" w:rsidR="008178DC" w:rsidRPr="00EF5169" w:rsidRDefault="008178DC" w:rsidP="00AF75F8">
      <w:pPr>
        <w:spacing w:line="360" w:lineRule="auto"/>
        <w:rPr>
          <w:rFonts w:ascii="Titillium" w:hAnsi="Titillium"/>
          <w:color w:val="002060"/>
          <w:sz w:val="20"/>
          <w:szCs w:val="20"/>
        </w:rPr>
      </w:pPr>
      <w:r w:rsidRPr="00EF5169">
        <w:rPr>
          <w:rFonts w:ascii="Titillium" w:hAnsi="Titillium"/>
          <w:color w:val="002060"/>
          <w:sz w:val="20"/>
          <w:szCs w:val="20"/>
        </w:rPr>
        <w:t>Sono stati analizzati i documenti messi a disposizione dall’Ente, le banche dati oggetto di attestazione ed acquisti tutti gli elementi di analisi ritenuti utili per la valutazione quali i documenti di programmazione economica/finanziaria, l’esito dei controlli postumi di regolarità amministrativa,</w:t>
      </w:r>
      <w:r w:rsidR="00115D63" w:rsidRPr="00EF5169">
        <w:rPr>
          <w:rFonts w:ascii="Titillium" w:hAnsi="Titillium"/>
          <w:color w:val="002060"/>
          <w:sz w:val="20"/>
          <w:szCs w:val="20"/>
        </w:rPr>
        <w:t xml:space="preserve"> ex art.147 bis del TUEL</w:t>
      </w:r>
      <w:r w:rsidRPr="00EF5169">
        <w:rPr>
          <w:rFonts w:ascii="Titillium" w:hAnsi="Titillium"/>
          <w:color w:val="002060"/>
          <w:sz w:val="20"/>
          <w:szCs w:val="20"/>
        </w:rPr>
        <w:t>,</w:t>
      </w:r>
      <w:r w:rsidR="001D03A9" w:rsidRPr="00EF5169">
        <w:rPr>
          <w:rFonts w:ascii="Titillium" w:hAnsi="Titillium"/>
          <w:color w:val="002060"/>
          <w:sz w:val="20"/>
          <w:szCs w:val="20"/>
        </w:rPr>
        <w:t xml:space="preserve"> </w:t>
      </w:r>
      <w:r w:rsidRPr="00EF5169">
        <w:rPr>
          <w:rFonts w:ascii="Titillium" w:hAnsi="Titillium"/>
          <w:color w:val="002060"/>
          <w:sz w:val="20"/>
          <w:szCs w:val="20"/>
        </w:rPr>
        <w:t xml:space="preserve">i rilievi </w:t>
      </w:r>
      <w:r w:rsidR="00115D63" w:rsidRPr="00EF5169">
        <w:rPr>
          <w:rFonts w:ascii="Titillium" w:hAnsi="Titillium"/>
          <w:color w:val="002060"/>
          <w:sz w:val="20"/>
          <w:szCs w:val="20"/>
        </w:rPr>
        <w:t xml:space="preserve">della corte dei </w:t>
      </w:r>
      <w:r w:rsidR="00EF5169" w:rsidRPr="00EF5169">
        <w:rPr>
          <w:rFonts w:ascii="Titillium" w:hAnsi="Titillium"/>
          <w:color w:val="002060"/>
          <w:sz w:val="20"/>
          <w:szCs w:val="20"/>
        </w:rPr>
        <w:t>conti,</w:t>
      </w:r>
      <w:r w:rsidR="00115D63" w:rsidRPr="00EF5169">
        <w:rPr>
          <w:rFonts w:ascii="Titillium" w:hAnsi="Titillium"/>
          <w:color w:val="002060"/>
          <w:sz w:val="20"/>
          <w:szCs w:val="20"/>
        </w:rPr>
        <w:t xml:space="preserve"> i pareri</w:t>
      </w:r>
      <w:r w:rsidRPr="00EF5169">
        <w:rPr>
          <w:rFonts w:ascii="Titillium" w:hAnsi="Titillium"/>
          <w:color w:val="002060"/>
          <w:sz w:val="20"/>
          <w:szCs w:val="20"/>
        </w:rPr>
        <w:t xml:space="preserve"> dell’organo di revisione contabile etc.</w:t>
      </w:r>
    </w:p>
    <w:p w14:paraId="1BB9BF21" w14:textId="2C6DF139" w:rsidR="005C3137" w:rsidRPr="00EF5169" w:rsidRDefault="005C3137" w:rsidP="00AF75F8">
      <w:pPr>
        <w:spacing w:line="360" w:lineRule="auto"/>
        <w:rPr>
          <w:rFonts w:ascii="Titillium" w:hAnsi="Titillium"/>
          <w:color w:val="002060"/>
          <w:sz w:val="20"/>
          <w:szCs w:val="20"/>
        </w:rPr>
      </w:pPr>
      <w:r w:rsidRPr="00EF5169">
        <w:rPr>
          <w:rFonts w:ascii="Titillium" w:hAnsi="Titillium"/>
          <w:color w:val="002060"/>
          <w:sz w:val="20"/>
          <w:szCs w:val="20"/>
        </w:rPr>
        <w:t xml:space="preserve">L’Organizzazione dell’Ente </w:t>
      </w:r>
      <w:r w:rsidR="008178DC" w:rsidRPr="00EF5169">
        <w:rPr>
          <w:rFonts w:ascii="Titillium" w:hAnsi="Titillium"/>
          <w:color w:val="002060"/>
          <w:sz w:val="20"/>
          <w:szCs w:val="20"/>
        </w:rPr>
        <w:t xml:space="preserve">individua e </w:t>
      </w:r>
      <w:r w:rsidRPr="00EF5169">
        <w:rPr>
          <w:rFonts w:ascii="Titillium" w:hAnsi="Titillium"/>
          <w:color w:val="002060"/>
          <w:sz w:val="20"/>
          <w:szCs w:val="20"/>
        </w:rPr>
        <w:t>assegna a ciascun responsab</w:t>
      </w:r>
      <w:r w:rsidR="00FB42F1" w:rsidRPr="00EF5169">
        <w:rPr>
          <w:rFonts w:ascii="Titillium" w:hAnsi="Titillium"/>
          <w:color w:val="002060"/>
          <w:sz w:val="20"/>
          <w:szCs w:val="20"/>
        </w:rPr>
        <w:t xml:space="preserve">ile </w:t>
      </w:r>
      <w:r w:rsidR="00EF5169" w:rsidRPr="00EF5169">
        <w:rPr>
          <w:rFonts w:ascii="Titillium" w:hAnsi="Titillium"/>
          <w:color w:val="002060"/>
          <w:sz w:val="20"/>
          <w:szCs w:val="20"/>
        </w:rPr>
        <w:t>l’onere della</w:t>
      </w:r>
      <w:r w:rsidRPr="00EF5169">
        <w:rPr>
          <w:rFonts w:ascii="Titillium" w:hAnsi="Titillium"/>
          <w:color w:val="002060"/>
          <w:sz w:val="20"/>
          <w:szCs w:val="20"/>
        </w:rPr>
        <w:t xml:space="preserve"> pubblicazione dei dati e delle notizie in base alla proprie competenze e</w:t>
      </w:r>
      <w:r w:rsidR="008178DC" w:rsidRPr="00EF5169">
        <w:rPr>
          <w:rFonts w:ascii="Titillium" w:hAnsi="Titillium"/>
          <w:color w:val="002060"/>
          <w:sz w:val="20"/>
          <w:szCs w:val="20"/>
        </w:rPr>
        <w:t xml:space="preserve"> al Programma della Trasparenza.</w:t>
      </w:r>
      <w:r w:rsidRPr="00EF5169">
        <w:rPr>
          <w:rFonts w:ascii="Titillium" w:hAnsi="Titillium"/>
          <w:color w:val="002060"/>
          <w:sz w:val="20"/>
          <w:szCs w:val="20"/>
        </w:rPr>
        <w:t xml:space="preserve"> </w:t>
      </w:r>
      <w:r w:rsidR="002F665B">
        <w:rPr>
          <w:rFonts w:ascii="Titillium" w:hAnsi="Titillium"/>
          <w:color w:val="002060"/>
          <w:sz w:val="20"/>
          <w:szCs w:val="20"/>
        </w:rPr>
        <w:t>Il Segretario</w:t>
      </w:r>
      <w:r w:rsidR="008178DC" w:rsidRPr="00EF5169">
        <w:rPr>
          <w:rFonts w:ascii="Titillium" w:hAnsi="Titillium"/>
          <w:color w:val="002060"/>
          <w:sz w:val="20"/>
          <w:szCs w:val="20"/>
        </w:rPr>
        <w:t xml:space="preserve"> generale,</w:t>
      </w:r>
      <w:r w:rsidR="00E750F4" w:rsidRPr="00EF5169">
        <w:rPr>
          <w:rFonts w:ascii="Titillium" w:hAnsi="Titillium"/>
          <w:color w:val="002060"/>
          <w:sz w:val="20"/>
          <w:szCs w:val="20"/>
        </w:rPr>
        <w:t xml:space="preserve"> </w:t>
      </w:r>
      <w:r w:rsidR="00115D63" w:rsidRPr="00EF5169">
        <w:rPr>
          <w:rFonts w:ascii="Titillium" w:hAnsi="Titillium"/>
          <w:color w:val="002060"/>
          <w:sz w:val="20"/>
          <w:szCs w:val="20"/>
        </w:rPr>
        <w:t xml:space="preserve">nella sua qualità </w:t>
      </w:r>
      <w:r w:rsidR="00EF5169" w:rsidRPr="00EF5169">
        <w:rPr>
          <w:rFonts w:ascii="Titillium" w:hAnsi="Titillium"/>
          <w:color w:val="002060"/>
          <w:sz w:val="20"/>
          <w:szCs w:val="20"/>
        </w:rPr>
        <w:t>di responsabile</w:t>
      </w:r>
      <w:r w:rsidR="008178DC" w:rsidRPr="00EF5169">
        <w:rPr>
          <w:rFonts w:ascii="Titillium" w:hAnsi="Titillium"/>
          <w:color w:val="002060"/>
          <w:sz w:val="20"/>
          <w:szCs w:val="20"/>
        </w:rPr>
        <w:t xml:space="preserve"> della prevenzione della corruzione</w:t>
      </w:r>
      <w:r w:rsidR="00E750F4" w:rsidRPr="00EF5169">
        <w:rPr>
          <w:rFonts w:ascii="Titillium" w:hAnsi="Titillium"/>
          <w:color w:val="002060"/>
          <w:sz w:val="20"/>
          <w:szCs w:val="20"/>
        </w:rPr>
        <w:t xml:space="preserve"> e</w:t>
      </w:r>
      <w:r w:rsidR="008178DC" w:rsidRPr="00EF5169">
        <w:rPr>
          <w:rFonts w:ascii="Titillium" w:hAnsi="Titillium"/>
          <w:color w:val="002060"/>
          <w:sz w:val="20"/>
          <w:szCs w:val="20"/>
        </w:rPr>
        <w:t xml:space="preserve"> </w:t>
      </w:r>
      <w:r w:rsidR="00E750F4" w:rsidRPr="00EF5169">
        <w:rPr>
          <w:rFonts w:ascii="Titillium" w:hAnsi="Titillium"/>
          <w:color w:val="002060"/>
          <w:sz w:val="20"/>
          <w:szCs w:val="20"/>
        </w:rPr>
        <w:t xml:space="preserve">della trasparenza ha fornito in tempi </w:t>
      </w:r>
      <w:r w:rsidR="00EF5169" w:rsidRPr="00EF5169">
        <w:rPr>
          <w:rFonts w:ascii="Titillium" w:hAnsi="Titillium"/>
          <w:color w:val="002060"/>
          <w:sz w:val="20"/>
          <w:szCs w:val="20"/>
        </w:rPr>
        <w:t>utili le</w:t>
      </w:r>
      <w:r w:rsidR="008178DC" w:rsidRPr="00EF5169">
        <w:rPr>
          <w:rFonts w:ascii="Titillium" w:hAnsi="Titillium"/>
          <w:color w:val="002060"/>
          <w:sz w:val="20"/>
          <w:szCs w:val="20"/>
        </w:rPr>
        <w:t xml:space="preserve"> </w:t>
      </w:r>
      <w:r w:rsidR="00E750F4" w:rsidRPr="00EF5169">
        <w:rPr>
          <w:rFonts w:ascii="Titillium" w:hAnsi="Titillium"/>
          <w:color w:val="002060"/>
          <w:sz w:val="20"/>
          <w:szCs w:val="20"/>
        </w:rPr>
        <w:t>informazioni necessarie per la verifica</w:t>
      </w:r>
      <w:r w:rsidR="00FB42F1" w:rsidRPr="00EF5169">
        <w:rPr>
          <w:rFonts w:ascii="Titillium" w:hAnsi="Titillium"/>
          <w:color w:val="002060"/>
          <w:sz w:val="20"/>
          <w:szCs w:val="20"/>
        </w:rPr>
        <w:t xml:space="preserve"> ed ha reso possibile </w:t>
      </w:r>
      <w:r w:rsidR="00E750F4" w:rsidRPr="00EF5169">
        <w:rPr>
          <w:rFonts w:ascii="Titillium" w:hAnsi="Titillium"/>
          <w:color w:val="002060"/>
          <w:sz w:val="20"/>
          <w:szCs w:val="20"/>
        </w:rPr>
        <w:t>il rilascio delle attestazioni entro la data prevista all’ANAC</w:t>
      </w:r>
      <w:r w:rsidR="00FB42F1" w:rsidRPr="00EF5169">
        <w:rPr>
          <w:rFonts w:ascii="Titillium" w:hAnsi="Titillium"/>
          <w:color w:val="002060"/>
          <w:sz w:val="20"/>
          <w:szCs w:val="20"/>
        </w:rPr>
        <w:t xml:space="preserve"> superando alcune criticità presenti nell’Ente che talvolta </w:t>
      </w:r>
      <w:r w:rsidR="00115D63" w:rsidRPr="00EF5169">
        <w:rPr>
          <w:rFonts w:ascii="Titillium" w:hAnsi="Titillium"/>
          <w:color w:val="002060"/>
          <w:sz w:val="20"/>
          <w:szCs w:val="20"/>
        </w:rPr>
        <w:t xml:space="preserve">rallentano l’osservanza dei </w:t>
      </w:r>
      <w:r w:rsidR="00FB42F1" w:rsidRPr="00EF5169">
        <w:rPr>
          <w:rFonts w:ascii="Titillium" w:hAnsi="Titillium"/>
          <w:color w:val="002060"/>
          <w:sz w:val="20"/>
          <w:szCs w:val="20"/>
        </w:rPr>
        <w:t xml:space="preserve">vincoli di </w:t>
      </w:r>
      <w:r w:rsidR="00FB42F1" w:rsidRPr="00EF5169">
        <w:rPr>
          <w:rFonts w:ascii="Titillium" w:hAnsi="Titillium"/>
          <w:color w:val="002060"/>
          <w:sz w:val="20"/>
          <w:szCs w:val="20"/>
        </w:rPr>
        <w:lastRenderedPageBreak/>
        <w:t>dettati dalla normativa vigente</w:t>
      </w:r>
      <w:r w:rsidR="00115D63" w:rsidRPr="00EF5169">
        <w:rPr>
          <w:rFonts w:ascii="Titillium" w:hAnsi="Titillium"/>
          <w:color w:val="002060"/>
          <w:sz w:val="20"/>
          <w:szCs w:val="20"/>
        </w:rPr>
        <w:t xml:space="preserve"> in materi di </w:t>
      </w:r>
      <w:r w:rsidR="00EF5169" w:rsidRPr="00EF5169">
        <w:rPr>
          <w:rFonts w:ascii="Titillium" w:hAnsi="Titillium"/>
          <w:color w:val="002060"/>
          <w:sz w:val="20"/>
          <w:szCs w:val="20"/>
        </w:rPr>
        <w:t>trasparenza.</w:t>
      </w:r>
      <w:r w:rsidR="00E750F4" w:rsidRPr="00EF5169">
        <w:rPr>
          <w:rFonts w:ascii="Titillium" w:hAnsi="Titillium"/>
          <w:color w:val="002060"/>
          <w:sz w:val="20"/>
          <w:szCs w:val="20"/>
        </w:rPr>
        <w:t xml:space="preserve"> </w:t>
      </w:r>
    </w:p>
    <w:p w14:paraId="76BFF052" w14:textId="77777777" w:rsidR="00C27B23" w:rsidRPr="00EF5169" w:rsidRDefault="0048249A" w:rsidP="00FB42F1">
      <w:pPr>
        <w:pStyle w:val="Paragrafoelenco"/>
        <w:numPr>
          <w:ilvl w:val="0"/>
          <w:numId w:val="5"/>
        </w:numPr>
        <w:spacing w:line="360" w:lineRule="auto"/>
        <w:rPr>
          <w:rFonts w:ascii="Titillium" w:hAnsi="Titillium"/>
          <w:b/>
          <w:i/>
          <w:color w:val="002060"/>
          <w:sz w:val="20"/>
          <w:szCs w:val="20"/>
        </w:rPr>
      </w:pPr>
      <w:r w:rsidRPr="00EF5169">
        <w:rPr>
          <w:rFonts w:ascii="Titillium" w:hAnsi="Titillium"/>
          <w:b/>
          <w:i/>
          <w:color w:val="002060"/>
          <w:sz w:val="20"/>
          <w:szCs w:val="20"/>
        </w:rPr>
        <w:t>Aspetti critici riscontrati nel corso della rilevazione</w:t>
      </w:r>
    </w:p>
    <w:p w14:paraId="3C738083" w14:textId="789CF4F2" w:rsidR="00AD02D2" w:rsidRPr="00EF5169" w:rsidRDefault="00FB42F1">
      <w:pPr>
        <w:spacing w:line="360" w:lineRule="auto"/>
        <w:rPr>
          <w:rFonts w:ascii="Titillium" w:hAnsi="Titillium"/>
          <w:color w:val="002060"/>
          <w:sz w:val="20"/>
          <w:szCs w:val="20"/>
        </w:rPr>
      </w:pPr>
      <w:r w:rsidRPr="00EF5169">
        <w:rPr>
          <w:rFonts w:ascii="Titillium" w:hAnsi="Titillium"/>
          <w:color w:val="002060"/>
          <w:sz w:val="20"/>
          <w:szCs w:val="20"/>
        </w:rPr>
        <w:t>Prosegue l’attività e l’aggiornamento dei dati pubblicati nella sezioni e sottosezioni previste dalla normativa in vigore dell’amministrazione trasparente. Si segnala comunque che la verifica effett</w:t>
      </w:r>
      <w:r w:rsidR="002F665B">
        <w:rPr>
          <w:rFonts w:ascii="Titillium" w:hAnsi="Titillium"/>
          <w:color w:val="002060"/>
          <w:sz w:val="20"/>
          <w:szCs w:val="20"/>
        </w:rPr>
        <w:t xml:space="preserve">uate dall’organismo appare </w:t>
      </w:r>
      <w:r w:rsidRPr="00EF5169">
        <w:rPr>
          <w:rFonts w:ascii="Titillium" w:hAnsi="Titillium"/>
          <w:color w:val="002060"/>
          <w:sz w:val="20"/>
          <w:szCs w:val="20"/>
        </w:rPr>
        <w:t>in alcuni casi incompleta e non confacente con particolare riferimento al formato aperto e all’aggiornamento del dato pubblicato</w:t>
      </w:r>
      <w:r w:rsidR="00AD02D2" w:rsidRPr="00EF5169">
        <w:rPr>
          <w:rFonts w:ascii="Titillium" w:hAnsi="Titillium"/>
          <w:color w:val="002060"/>
          <w:sz w:val="20"/>
          <w:szCs w:val="20"/>
        </w:rPr>
        <w:t>.</w:t>
      </w:r>
    </w:p>
    <w:p w14:paraId="3615EBD8" w14:textId="364FA39E" w:rsidR="00C27B23" w:rsidRPr="00EF5169" w:rsidRDefault="00AD02D2">
      <w:pPr>
        <w:spacing w:line="360" w:lineRule="auto"/>
        <w:rPr>
          <w:rFonts w:ascii="Titillium" w:hAnsi="Titillium"/>
          <w:color w:val="002060"/>
          <w:sz w:val="20"/>
          <w:szCs w:val="20"/>
        </w:rPr>
      </w:pPr>
      <w:r w:rsidRPr="00EF5169">
        <w:rPr>
          <w:rFonts w:ascii="Titillium" w:hAnsi="Titillium"/>
          <w:color w:val="002060"/>
          <w:sz w:val="20"/>
          <w:szCs w:val="20"/>
        </w:rPr>
        <w:t xml:space="preserve">Pur nella comprensibile </w:t>
      </w:r>
      <w:r w:rsidR="00002A6B" w:rsidRPr="00EF5169">
        <w:rPr>
          <w:rFonts w:ascii="Titillium" w:hAnsi="Titillium"/>
          <w:color w:val="002060"/>
          <w:sz w:val="20"/>
          <w:szCs w:val="20"/>
        </w:rPr>
        <w:t xml:space="preserve">situazione di </w:t>
      </w:r>
      <w:r w:rsidRPr="00EF5169">
        <w:rPr>
          <w:rFonts w:ascii="Titillium" w:hAnsi="Titillium"/>
          <w:color w:val="002060"/>
          <w:sz w:val="20"/>
          <w:szCs w:val="20"/>
        </w:rPr>
        <w:t>emergenza sanitaria caratterizzata dalla pandemia del Covid l’Organismo ha invitato l’Ente a integrare e completare la pubblicazione di alcune sotto sezioni.</w:t>
      </w:r>
      <w:r w:rsidR="001D03A9" w:rsidRPr="00EF5169">
        <w:rPr>
          <w:rFonts w:ascii="Titillium" w:hAnsi="Titillium"/>
          <w:color w:val="002060"/>
          <w:sz w:val="20"/>
          <w:szCs w:val="20"/>
        </w:rPr>
        <w:t xml:space="preserve"> </w:t>
      </w:r>
      <w:r w:rsidRPr="00EF5169">
        <w:rPr>
          <w:rFonts w:ascii="Titillium" w:hAnsi="Titillium"/>
          <w:color w:val="002060"/>
          <w:sz w:val="20"/>
          <w:szCs w:val="20"/>
        </w:rPr>
        <w:t>Ribadisce l’esigenza</w:t>
      </w:r>
      <w:r w:rsidR="001D03A9" w:rsidRPr="00EF5169">
        <w:rPr>
          <w:rFonts w:ascii="Titillium" w:hAnsi="Titillium"/>
          <w:color w:val="002060"/>
          <w:sz w:val="20"/>
          <w:szCs w:val="20"/>
        </w:rPr>
        <w:t xml:space="preserve"> di rafforzare lo strumento</w:t>
      </w:r>
      <w:r w:rsidRPr="00EF5169">
        <w:rPr>
          <w:rFonts w:ascii="Titillium" w:hAnsi="Titillium"/>
          <w:color w:val="002060"/>
          <w:sz w:val="20"/>
          <w:szCs w:val="20"/>
        </w:rPr>
        <w:t xml:space="preserve"> della trasparenza quale misura</w:t>
      </w:r>
      <w:r w:rsidR="00283109" w:rsidRPr="00EF5169">
        <w:rPr>
          <w:rFonts w:ascii="Titillium" w:hAnsi="Titillium"/>
          <w:color w:val="002060"/>
          <w:sz w:val="20"/>
          <w:szCs w:val="20"/>
        </w:rPr>
        <w:t xml:space="preserve"> fondamentale </w:t>
      </w:r>
      <w:r w:rsidR="001D03A9" w:rsidRPr="00EF5169">
        <w:rPr>
          <w:rFonts w:ascii="Titillium" w:hAnsi="Titillium"/>
          <w:color w:val="002060"/>
          <w:sz w:val="20"/>
          <w:szCs w:val="20"/>
        </w:rPr>
        <w:t xml:space="preserve">per la </w:t>
      </w:r>
      <w:r w:rsidR="00002A6B" w:rsidRPr="00EF5169">
        <w:rPr>
          <w:rFonts w:ascii="Titillium" w:hAnsi="Titillium"/>
          <w:color w:val="002060"/>
          <w:sz w:val="20"/>
          <w:szCs w:val="20"/>
        </w:rPr>
        <w:t>prevenzione della corruzione,</w:t>
      </w:r>
      <w:r w:rsidR="00115D63" w:rsidRPr="00EF5169">
        <w:rPr>
          <w:rFonts w:ascii="Titillium" w:hAnsi="Titillium"/>
          <w:color w:val="002060"/>
          <w:sz w:val="20"/>
          <w:szCs w:val="20"/>
        </w:rPr>
        <w:t xml:space="preserve"> </w:t>
      </w:r>
      <w:r w:rsidR="001D03A9" w:rsidRPr="00EF5169">
        <w:rPr>
          <w:rFonts w:ascii="Titillium" w:hAnsi="Titillium"/>
          <w:color w:val="002060"/>
          <w:sz w:val="20"/>
          <w:szCs w:val="20"/>
        </w:rPr>
        <w:t xml:space="preserve">di raccordo e partecipazione con i cittadini e le imprese </w:t>
      </w:r>
      <w:r w:rsidR="00283109" w:rsidRPr="00EF5169">
        <w:rPr>
          <w:rFonts w:ascii="Titillium" w:hAnsi="Titillium"/>
          <w:color w:val="002060"/>
          <w:sz w:val="20"/>
          <w:szCs w:val="20"/>
        </w:rPr>
        <w:t>anche nell’ottica d</w:t>
      </w:r>
      <w:r w:rsidR="00002A6B" w:rsidRPr="00EF5169">
        <w:rPr>
          <w:rFonts w:ascii="Titillium" w:hAnsi="Titillium"/>
          <w:color w:val="002060"/>
          <w:sz w:val="20"/>
          <w:szCs w:val="20"/>
        </w:rPr>
        <w:t>i una crescita professionale di</w:t>
      </w:r>
      <w:r w:rsidR="00115D63" w:rsidRPr="00EF5169">
        <w:rPr>
          <w:rFonts w:ascii="Titillium" w:hAnsi="Titillium"/>
          <w:color w:val="002060"/>
          <w:sz w:val="20"/>
          <w:szCs w:val="20"/>
        </w:rPr>
        <w:t xml:space="preserve"> </w:t>
      </w:r>
      <w:r w:rsidR="00002A6B" w:rsidRPr="00EF5169">
        <w:rPr>
          <w:rFonts w:ascii="Titillium" w:hAnsi="Titillium"/>
          <w:color w:val="002060"/>
          <w:sz w:val="20"/>
          <w:szCs w:val="20"/>
        </w:rPr>
        <w:t xml:space="preserve">tutto </w:t>
      </w:r>
      <w:r w:rsidR="00EF5169" w:rsidRPr="00EF5169">
        <w:rPr>
          <w:rFonts w:ascii="Titillium" w:hAnsi="Titillium"/>
          <w:color w:val="002060"/>
          <w:sz w:val="20"/>
          <w:szCs w:val="20"/>
        </w:rPr>
        <w:t>il personale.</w:t>
      </w:r>
    </w:p>
    <w:p w14:paraId="02059789" w14:textId="6A0FE86C" w:rsidR="00283109" w:rsidRPr="00EF5169" w:rsidRDefault="00283109" w:rsidP="00115D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ourier New" w:hAnsi="Courier New" w:cs="Courier New"/>
          <w:color w:val="002060"/>
          <w:sz w:val="22"/>
          <w:szCs w:val="22"/>
        </w:rPr>
      </w:pPr>
      <w:r w:rsidRPr="00EF5169">
        <w:rPr>
          <w:rFonts w:ascii="Courier New" w:hAnsi="Courier New" w:cs="Courier New"/>
          <w:color w:val="002060"/>
          <w:sz w:val="22"/>
          <w:szCs w:val="22"/>
        </w:rPr>
        <w:t>Con riferimento alla tabella “Allegato 2.1 alla delibera N. 294/2021 – griglia di rilevazione al 31/05/2021” di seguito al</w:t>
      </w:r>
      <w:r w:rsidR="002F665B">
        <w:rPr>
          <w:rFonts w:ascii="Courier New" w:hAnsi="Courier New" w:cs="Courier New"/>
          <w:color w:val="002060"/>
          <w:sz w:val="22"/>
          <w:szCs w:val="22"/>
        </w:rPr>
        <w:t>cune osservazioni</w:t>
      </w:r>
      <w:r w:rsidRPr="00EF5169">
        <w:rPr>
          <w:rFonts w:ascii="Courier New" w:hAnsi="Courier New" w:cs="Courier New"/>
          <w:color w:val="002060"/>
          <w:sz w:val="22"/>
          <w:szCs w:val="22"/>
        </w:rPr>
        <w:t>:</w:t>
      </w:r>
    </w:p>
    <w:p w14:paraId="2B9322FC" w14:textId="0626E6DC" w:rsidR="00283109" w:rsidRPr="00EF5169" w:rsidRDefault="00283109" w:rsidP="00EF516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contextualSpacing/>
        <w:rPr>
          <w:rFonts w:ascii="Courier New" w:hAnsi="Courier New" w:cs="Courier New"/>
          <w:color w:val="002060"/>
          <w:sz w:val="22"/>
          <w:szCs w:val="22"/>
        </w:rPr>
      </w:pPr>
      <w:r w:rsidRPr="00EF5169">
        <w:rPr>
          <w:rFonts w:ascii="Courier New" w:hAnsi="Courier New" w:cs="Courier New"/>
          <w:color w:val="002060"/>
          <w:sz w:val="22"/>
          <w:szCs w:val="22"/>
        </w:rPr>
        <w:t xml:space="preserve">Nella home page </w:t>
      </w:r>
      <w:hyperlink r:id="rId7" w:history="1">
        <w:r w:rsidR="002F665B" w:rsidRPr="00867B7D">
          <w:rPr>
            <w:rStyle w:val="Collegamentoipertestuale"/>
            <w:rFonts w:ascii="Courier New" w:hAnsi="Courier New" w:cs="Courier New"/>
            <w:sz w:val="22"/>
            <w:szCs w:val="22"/>
          </w:rPr>
          <w:t>http://www.comune.roccadipapa.rm.it/amministrazione-trasparente/</w:t>
        </w:r>
      </w:hyperlink>
      <w:r w:rsidRPr="00EF5169">
        <w:rPr>
          <w:rFonts w:ascii="Courier New" w:hAnsi="Courier New" w:cs="Courier New"/>
          <w:color w:val="002060"/>
          <w:sz w:val="22"/>
          <w:szCs w:val="22"/>
        </w:rPr>
        <w:t xml:space="preserve"> non è riportata la data di aggiornamento così come pure nella pagina BANDI DI GARA </w:t>
      </w:r>
      <w:hyperlink r:id="rId8" w:history="1">
        <w:r w:rsidR="002F665B" w:rsidRPr="00867B7D">
          <w:rPr>
            <w:rStyle w:val="Collegamentoipertestuale"/>
            <w:rFonts w:ascii="Courier New" w:hAnsi="Courier New" w:cs="Courier New"/>
            <w:sz w:val="22"/>
            <w:szCs w:val="22"/>
          </w:rPr>
          <w:t>http://www.comune.roccadipapa.rm.it/bandi-di-gara/</w:t>
        </w:r>
      </w:hyperlink>
      <w:r w:rsidRPr="00EF5169">
        <w:rPr>
          <w:rFonts w:ascii="Courier New" w:hAnsi="Courier New" w:cs="Courier New"/>
          <w:color w:val="002060"/>
          <w:sz w:val="22"/>
          <w:szCs w:val="22"/>
        </w:rPr>
        <w:t xml:space="preserve"> e in altr</w:t>
      </w:r>
      <w:r w:rsidR="00115D63" w:rsidRPr="00EF5169">
        <w:rPr>
          <w:rFonts w:ascii="Courier New" w:hAnsi="Courier New" w:cs="Courier New"/>
          <w:color w:val="002060"/>
          <w:sz w:val="22"/>
          <w:szCs w:val="22"/>
        </w:rPr>
        <w:t>e controllate. S</w:t>
      </w:r>
      <w:r w:rsidRPr="00EF5169">
        <w:rPr>
          <w:rFonts w:ascii="Courier New" w:hAnsi="Courier New" w:cs="Courier New"/>
          <w:color w:val="002060"/>
          <w:sz w:val="22"/>
          <w:szCs w:val="22"/>
        </w:rPr>
        <w:t xml:space="preserve">i suggerisce di attenersi alle indicazioni riportate </w:t>
      </w:r>
      <w:r w:rsidR="00EF5169" w:rsidRPr="00EF5169">
        <w:rPr>
          <w:rFonts w:ascii="Courier New" w:hAnsi="Courier New" w:cs="Courier New"/>
          <w:color w:val="002060"/>
          <w:sz w:val="22"/>
          <w:szCs w:val="22"/>
        </w:rPr>
        <w:t>nell’allegato</w:t>
      </w:r>
      <w:r w:rsidRPr="00EF5169">
        <w:rPr>
          <w:rFonts w:ascii="Courier New" w:hAnsi="Courier New" w:cs="Courier New"/>
          <w:color w:val="002060"/>
          <w:sz w:val="22"/>
          <w:szCs w:val="22"/>
        </w:rPr>
        <w:t xml:space="preserve"> 5 al</w:t>
      </w:r>
      <w:r w:rsidR="002F665B">
        <w:rPr>
          <w:rFonts w:ascii="Courier New" w:hAnsi="Courier New" w:cs="Courier New"/>
          <w:color w:val="002060"/>
          <w:sz w:val="22"/>
          <w:szCs w:val="22"/>
        </w:rPr>
        <w:t xml:space="preserve">la delibera ANAC n. 294/2021 </w:t>
      </w:r>
      <w:proofErr w:type="spellStart"/>
      <w:proofErr w:type="gramStart"/>
      <w:r w:rsidR="002F665B">
        <w:rPr>
          <w:rFonts w:ascii="Courier New" w:hAnsi="Courier New" w:cs="Courier New"/>
          <w:color w:val="002060"/>
          <w:sz w:val="22"/>
          <w:szCs w:val="22"/>
        </w:rPr>
        <w:t>e,</w:t>
      </w:r>
      <w:r w:rsidRPr="00EF5169">
        <w:rPr>
          <w:rFonts w:ascii="Courier New" w:hAnsi="Courier New" w:cs="Courier New"/>
          <w:color w:val="002060"/>
          <w:sz w:val="22"/>
          <w:szCs w:val="22"/>
        </w:rPr>
        <w:t>in</w:t>
      </w:r>
      <w:proofErr w:type="spellEnd"/>
      <w:proofErr w:type="gramEnd"/>
      <w:r w:rsidRPr="00EF5169">
        <w:rPr>
          <w:rFonts w:ascii="Courier New" w:hAnsi="Courier New" w:cs="Courier New"/>
          <w:color w:val="002060"/>
          <w:sz w:val="22"/>
          <w:szCs w:val="22"/>
        </w:rPr>
        <w:t xml:space="preserve"> particolare al paragrafo 2: Aggiornamento.</w:t>
      </w:r>
    </w:p>
    <w:p w14:paraId="46B1EA93" w14:textId="77777777" w:rsidR="00283109" w:rsidRPr="00EF5169" w:rsidRDefault="00283109" w:rsidP="00EF516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contextualSpacing/>
        <w:rPr>
          <w:rFonts w:ascii="Courier New" w:hAnsi="Courier New" w:cs="Courier New"/>
          <w:color w:val="002060"/>
          <w:sz w:val="22"/>
          <w:szCs w:val="22"/>
        </w:rPr>
      </w:pPr>
      <w:r w:rsidRPr="00EF5169">
        <w:rPr>
          <w:rFonts w:ascii="Courier New" w:hAnsi="Courier New" w:cs="Courier New"/>
          <w:color w:val="002060"/>
          <w:sz w:val="22"/>
          <w:szCs w:val="22"/>
        </w:rPr>
        <w:t>Il formato di pubblicazione dei documenti in pdf non è sempre di tipo aperto (PDF/A)</w:t>
      </w:r>
    </w:p>
    <w:p w14:paraId="3280EFC1" w14:textId="5D88B283" w:rsidR="00283109" w:rsidRPr="00EF5169" w:rsidRDefault="00283109" w:rsidP="00EF516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contextualSpacing/>
        <w:jc w:val="left"/>
        <w:rPr>
          <w:rFonts w:ascii="Courier New" w:hAnsi="Courier New" w:cs="Courier New"/>
          <w:color w:val="002060"/>
          <w:sz w:val="22"/>
          <w:szCs w:val="22"/>
        </w:rPr>
      </w:pPr>
      <w:r w:rsidRPr="00EF5169">
        <w:rPr>
          <w:rFonts w:ascii="Courier New" w:hAnsi="Courier New" w:cs="Courier New"/>
          <w:color w:val="002060"/>
          <w:sz w:val="22"/>
          <w:szCs w:val="22"/>
        </w:rPr>
        <w:t>La pagina B</w:t>
      </w:r>
      <w:r w:rsidR="00115D63" w:rsidRPr="00EF5169">
        <w:rPr>
          <w:rFonts w:ascii="Courier New" w:hAnsi="Courier New" w:cs="Courier New"/>
          <w:color w:val="002060"/>
          <w:sz w:val="22"/>
          <w:szCs w:val="22"/>
        </w:rPr>
        <w:t xml:space="preserve">ILANCIO PREVENTIVO E CONSUNTIVO </w:t>
      </w:r>
      <w:hyperlink r:id="rId9" w:history="1">
        <w:r w:rsidR="002F665B" w:rsidRPr="00867B7D">
          <w:rPr>
            <w:rStyle w:val="Collegamentoipertestuale"/>
            <w:rFonts w:ascii="Courier New" w:hAnsi="Courier New" w:cs="Courier New"/>
            <w:sz w:val="22"/>
            <w:szCs w:val="22"/>
          </w:rPr>
          <w:t>http://www.comune.roccadipapa.rm.it/bilancio-preventivo-e-consuntivo/</w:t>
        </w:r>
      </w:hyperlink>
      <w:r w:rsidRPr="00EF5169">
        <w:rPr>
          <w:rFonts w:ascii="Courier New" w:hAnsi="Courier New" w:cs="Courier New"/>
          <w:color w:val="002060"/>
          <w:sz w:val="22"/>
          <w:szCs w:val="22"/>
        </w:rPr>
        <w:t xml:space="preserve"> non riporta la data di aggiornamento e nei documenti ed allegati di bilancio non viene generalmente fatto ricorso a rappresentazioni grafiche (ex art. 8, d.lgs. n. 33/2013</w:t>
      </w:r>
      <w:r w:rsidR="00EF5169" w:rsidRPr="00EF5169">
        <w:rPr>
          <w:rFonts w:ascii="Courier New" w:hAnsi="Courier New" w:cs="Courier New"/>
          <w:color w:val="002060"/>
          <w:sz w:val="22"/>
          <w:szCs w:val="22"/>
        </w:rPr>
        <w:t>). Dei</w:t>
      </w:r>
      <w:r w:rsidR="00F47514" w:rsidRPr="00EF5169">
        <w:rPr>
          <w:rFonts w:ascii="Courier New" w:hAnsi="Courier New" w:cs="Courier New"/>
          <w:color w:val="002060"/>
          <w:sz w:val="22"/>
          <w:szCs w:val="22"/>
        </w:rPr>
        <w:t xml:space="preserve"> dati presentati solo alcuni sono</w:t>
      </w:r>
      <w:r w:rsidRPr="00EF5169">
        <w:rPr>
          <w:rFonts w:ascii="Courier New" w:hAnsi="Courier New" w:cs="Courier New"/>
          <w:color w:val="002060"/>
          <w:sz w:val="22"/>
          <w:szCs w:val="22"/>
        </w:rPr>
        <w:t xml:space="preserve"> in formato aperto e quindi non è facilitato il riutilizzo. </w:t>
      </w:r>
    </w:p>
    <w:p w14:paraId="177A9D9A" w14:textId="2E37E177" w:rsidR="00283109" w:rsidRPr="00EF5169" w:rsidRDefault="00EF5169" w:rsidP="002F665B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contextualSpacing/>
        <w:jc w:val="left"/>
        <w:rPr>
          <w:rFonts w:ascii="Courier New" w:hAnsi="Courier New" w:cs="Courier New"/>
          <w:color w:val="002060"/>
          <w:sz w:val="22"/>
          <w:szCs w:val="22"/>
        </w:rPr>
      </w:pPr>
      <w:r>
        <w:rPr>
          <w:rFonts w:ascii="Courier New" w:hAnsi="Courier New" w:cs="Courier New"/>
          <w:color w:val="002060"/>
          <w:sz w:val="22"/>
          <w:szCs w:val="22"/>
        </w:rPr>
        <w:t>nel</w:t>
      </w:r>
      <w:r w:rsidR="002F665B">
        <w:rPr>
          <w:rFonts w:ascii="Courier New" w:hAnsi="Courier New" w:cs="Courier New"/>
          <w:color w:val="002060"/>
          <w:sz w:val="22"/>
          <w:szCs w:val="22"/>
        </w:rPr>
        <w:t>la sezione “Patrimonio”</w:t>
      </w:r>
      <w:hyperlink r:id="rId10" w:history="1">
        <w:r w:rsidR="002F665B" w:rsidRPr="00867B7D">
          <w:rPr>
            <w:rStyle w:val="Collegamentoipertestuale"/>
            <w:rFonts w:ascii="Courier New" w:hAnsi="Courier New" w:cs="Courier New"/>
            <w:sz w:val="22"/>
            <w:szCs w:val="22"/>
          </w:rPr>
          <w:t>http://www.comune.roccadipapa.rm.it/patrimonio-immobiliare.xls</w:t>
        </w:r>
      </w:hyperlink>
      <w:r w:rsidR="00283109" w:rsidRPr="00EF5169">
        <w:rPr>
          <w:rFonts w:ascii="Courier New" w:hAnsi="Courier New" w:cs="Courier New"/>
          <w:color w:val="002060"/>
          <w:sz w:val="22"/>
          <w:szCs w:val="22"/>
        </w:rPr>
        <w:t xml:space="preserve"> i dati presentati</w:t>
      </w:r>
      <w:r w:rsidR="00F47514" w:rsidRPr="00EF5169">
        <w:rPr>
          <w:rFonts w:ascii="Courier New" w:hAnsi="Courier New" w:cs="Courier New"/>
          <w:color w:val="002060"/>
          <w:sz w:val="22"/>
          <w:szCs w:val="22"/>
        </w:rPr>
        <w:t xml:space="preserve"> non sono aggio</w:t>
      </w:r>
      <w:r w:rsidR="00115D63" w:rsidRPr="00EF5169">
        <w:rPr>
          <w:rFonts w:ascii="Courier New" w:hAnsi="Courier New" w:cs="Courier New"/>
          <w:color w:val="002060"/>
          <w:sz w:val="22"/>
          <w:szCs w:val="22"/>
        </w:rPr>
        <w:t>rnati e</w:t>
      </w:r>
      <w:r w:rsidR="00283109" w:rsidRPr="00EF5169">
        <w:rPr>
          <w:rFonts w:ascii="Courier New" w:hAnsi="Courier New" w:cs="Courier New"/>
          <w:color w:val="002060"/>
          <w:sz w:val="22"/>
          <w:szCs w:val="22"/>
        </w:rPr>
        <w:t xml:space="preserve"> non sono di tip</w:t>
      </w:r>
      <w:r w:rsidR="00277C83" w:rsidRPr="00EF5169">
        <w:rPr>
          <w:rFonts w:ascii="Courier New" w:hAnsi="Courier New" w:cs="Courier New"/>
          <w:color w:val="002060"/>
          <w:sz w:val="22"/>
          <w:szCs w:val="22"/>
        </w:rPr>
        <w:t>o aperto</w:t>
      </w:r>
      <w:r w:rsidR="00115D63" w:rsidRPr="00EF5169">
        <w:rPr>
          <w:rFonts w:ascii="Courier New" w:hAnsi="Courier New" w:cs="Courier New"/>
          <w:color w:val="002060"/>
          <w:sz w:val="22"/>
          <w:szCs w:val="22"/>
        </w:rPr>
        <w:t>.</w:t>
      </w:r>
      <w:r w:rsidR="00283109" w:rsidRPr="00EF5169">
        <w:rPr>
          <w:rFonts w:ascii="Courier New" w:hAnsi="Courier New" w:cs="Courier New"/>
          <w:color w:val="002060"/>
          <w:sz w:val="22"/>
          <w:szCs w:val="22"/>
        </w:rPr>
        <w:t xml:space="preserve"> </w:t>
      </w:r>
      <w:r w:rsidR="00277C83" w:rsidRPr="00EF5169">
        <w:rPr>
          <w:rFonts w:ascii="Courier New" w:hAnsi="Courier New" w:cs="Courier New"/>
          <w:color w:val="002060"/>
          <w:sz w:val="22"/>
          <w:szCs w:val="22"/>
        </w:rPr>
        <w:t xml:space="preserve"> S</w:t>
      </w:r>
      <w:r w:rsidR="00283109" w:rsidRPr="00EF5169">
        <w:rPr>
          <w:rFonts w:ascii="Courier New" w:hAnsi="Courier New" w:cs="Courier New"/>
          <w:color w:val="002060"/>
          <w:sz w:val="22"/>
          <w:szCs w:val="22"/>
        </w:rPr>
        <w:t>i suggerisce di</w:t>
      </w:r>
      <w:r w:rsidR="00277C83" w:rsidRPr="00EF5169">
        <w:rPr>
          <w:rFonts w:ascii="Courier New" w:hAnsi="Courier New" w:cs="Courier New"/>
          <w:color w:val="002060"/>
          <w:sz w:val="22"/>
          <w:szCs w:val="22"/>
        </w:rPr>
        <w:t xml:space="preserve"> adeguare </w:t>
      </w:r>
      <w:r w:rsidRPr="00EF5169">
        <w:rPr>
          <w:rFonts w:ascii="Courier New" w:hAnsi="Courier New" w:cs="Courier New"/>
          <w:color w:val="002060"/>
          <w:sz w:val="22"/>
          <w:szCs w:val="22"/>
        </w:rPr>
        <w:t>e utilizzare</w:t>
      </w:r>
      <w:r w:rsidR="00283109" w:rsidRPr="00EF5169">
        <w:rPr>
          <w:rFonts w:ascii="Courier New" w:hAnsi="Courier New" w:cs="Courier New"/>
          <w:color w:val="002060"/>
          <w:sz w:val="22"/>
          <w:szCs w:val="22"/>
        </w:rPr>
        <w:t xml:space="preserve"> il formato .</w:t>
      </w:r>
      <w:proofErr w:type="spellStart"/>
      <w:r w:rsidR="00283109" w:rsidRPr="00EF5169">
        <w:rPr>
          <w:rFonts w:ascii="Courier New" w:hAnsi="Courier New" w:cs="Courier New"/>
          <w:color w:val="002060"/>
          <w:sz w:val="22"/>
          <w:szCs w:val="22"/>
        </w:rPr>
        <w:t>csv</w:t>
      </w:r>
      <w:proofErr w:type="spellEnd"/>
      <w:r w:rsidR="00283109" w:rsidRPr="00EF5169">
        <w:rPr>
          <w:rFonts w:ascii="Courier New" w:hAnsi="Courier New" w:cs="Courier New"/>
          <w:color w:val="002060"/>
          <w:sz w:val="22"/>
          <w:szCs w:val="22"/>
        </w:rPr>
        <w:t xml:space="preserve"> o .</w:t>
      </w:r>
      <w:proofErr w:type="spellStart"/>
      <w:r w:rsidR="00283109" w:rsidRPr="00EF5169">
        <w:rPr>
          <w:rFonts w:ascii="Courier New" w:hAnsi="Courier New" w:cs="Courier New"/>
          <w:color w:val="002060"/>
          <w:sz w:val="22"/>
          <w:szCs w:val="22"/>
        </w:rPr>
        <w:t>ods</w:t>
      </w:r>
      <w:proofErr w:type="spellEnd"/>
      <w:r w:rsidR="00283109" w:rsidRPr="00EF5169">
        <w:rPr>
          <w:rFonts w:ascii="Courier New" w:hAnsi="Courier New" w:cs="Courier New"/>
          <w:color w:val="002060"/>
          <w:sz w:val="22"/>
          <w:szCs w:val="22"/>
        </w:rPr>
        <w:t xml:space="preserve"> disponibili in Open</w:t>
      </w:r>
      <w:r w:rsidR="00002A6B" w:rsidRPr="00EF5169">
        <w:rPr>
          <w:rFonts w:ascii="Courier New" w:hAnsi="Courier New" w:cs="Courier New"/>
          <w:color w:val="002060"/>
          <w:sz w:val="22"/>
          <w:szCs w:val="22"/>
        </w:rPr>
        <w:t xml:space="preserve"> </w:t>
      </w:r>
      <w:r w:rsidR="00277C83" w:rsidRPr="00EF5169">
        <w:rPr>
          <w:rFonts w:ascii="Courier New" w:hAnsi="Courier New" w:cs="Courier New"/>
          <w:color w:val="002060"/>
          <w:sz w:val="22"/>
          <w:szCs w:val="22"/>
        </w:rPr>
        <w:t xml:space="preserve">Office o anche in </w:t>
      </w:r>
      <w:proofErr w:type="spellStart"/>
      <w:r w:rsidR="00283109" w:rsidRPr="00EF5169">
        <w:rPr>
          <w:rFonts w:ascii="Courier New" w:hAnsi="Courier New" w:cs="Courier New"/>
          <w:color w:val="002060"/>
          <w:sz w:val="22"/>
          <w:szCs w:val="22"/>
        </w:rPr>
        <w:t>excel</w:t>
      </w:r>
      <w:proofErr w:type="spellEnd"/>
      <w:r w:rsidR="00283109" w:rsidRPr="00EF5169">
        <w:rPr>
          <w:rFonts w:ascii="Courier New" w:hAnsi="Courier New" w:cs="Courier New"/>
          <w:color w:val="002060"/>
          <w:sz w:val="22"/>
          <w:szCs w:val="22"/>
        </w:rPr>
        <w:t xml:space="preserve"> della Microsoft (usare la funzione salva con nome …)</w:t>
      </w:r>
    </w:p>
    <w:p w14:paraId="55FCD24B" w14:textId="4557E7E8" w:rsidR="00283109" w:rsidRPr="00EF5169" w:rsidRDefault="00283109" w:rsidP="00EF516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contextualSpacing/>
        <w:rPr>
          <w:rFonts w:ascii="Courier New" w:hAnsi="Courier New" w:cs="Courier New"/>
          <w:color w:val="002060"/>
          <w:sz w:val="22"/>
          <w:szCs w:val="22"/>
        </w:rPr>
      </w:pPr>
      <w:r w:rsidRPr="00EF5169">
        <w:rPr>
          <w:rFonts w:ascii="Courier New" w:hAnsi="Courier New" w:cs="Courier New"/>
          <w:color w:val="002060"/>
          <w:sz w:val="22"/>
          <w:szCs w:val="22"/>
        </w:rPr>
        <w:t>Lo stesso discorso vale per la sezione “Canoni di locazione”.</w:t>
      </w:r>
    </w:p>
    <w:p w14:paraId="5F1C6DAC" w14:textId="69357B1C" w:rsidR="00283109" w:rsidRPr="00EF5169" w:rsidRDefault="00283109" w:rsidP="00EF5169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60" w:line="259" w:lineRule="auto"/>
        <w:contextualSpacing/>
        <w:rPr>
          <w:rFonts w:ascii="Courier New" w:hAnsi="Courier New" w:cs="Courier New"/>
          <w:color w:val="002060"/>
          <w:sz w:val="22"/>
          <w:szCs w:val="22"/>
        </w:rPr>
      </w:pPr>
      <w:r w:rsidRPr="00EF5169">
        <w:rPr>
          <w:rFonts w:ascii="Courier New" w:hAnsi="Courier New" w:cs="Courier New"/>
          <w:color w:val="002060"/>
          <w:sz w:val="22"/>
          <w:szCs w:val="22"/>
        </w:rPr>
        <w:t>Nella sezione dedicata agli OIV si suggerisce di riportare tutti gli atti a loro rifer</w:t>
      </w:r>
      <w:r w:rsidR="00EF5169">
        <w:rPr>
          <w:rFonts w:ascii="Courier New" w:hAnsi="Courier New" w:cs="Courier New"/>
          <w:color w:val="002060"/>
          <w:sz w:val="22"/>
          <w:szCs w:val="22"/>
        </w:rPr>
        <w:t>iti. Si evidenzia che, al 31 maggio</w:t>
      </w:r>
      <w:r w:rsidRPr="00EF5169">
        <w:rPr>
          <w:rFonts w:ascii="Courier New" w:hAnsi="Courier New" w:cs="Courier New"/>
          <w:color w:val="002060"/>
          <w:sz w:val="22"/>
          <w:szCs w:val="22"/>
        </w:rPr>
        <w:t>, i relativi curriculum non sono in formato aperto.</w:t>
      </w:r>
    </w:p>
    <w:p w14:paraId="60A844F0" w14:textId="77777777" w:rsidR="00283109" w:rsidRPr="00EF5169" w:rsidRDefault="00283109" w:rsidP="008876D0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20" w:firstLine="0"/>
        <w:rPr>
          <w:rFonts w:ascii="Titillium" w:hAnsi="Titillium"/>
          <w:i/>
          <w:color w:val="002060"/>
          <w:sz w:val="20"/>
          <w:szCs w:val="20"/>
        </w:rPr>
      </w:pPr>
    </w:p>
    <w:p w14:paraId="326982C8" w14:textId="77777777" w:rsidR="00C27B23" w:rsidRPr="00EF5169" w:rsidRDefault="0048249A" w:rsidP="001D03A9">
      <w:pPr>
        <w:pStyle w:val="Paragrafoelenco"/>
        <w:numPr>
          <w:ilvl w:val="0"/>
          <w:numId w:val="5"/>
        </w:numPr>
        <w:spacing w:line="360" w:lineRule="auto"/>
        <w:rPr>
          <w:rFonts w:ascii="Titillium" w:hAnsi="Titillium"/>
          <w:b/>
          <w:i/>
          <w:color w:val="002060"/>
          <w:sz w:val="20"/>
          <w:szCs w:val="20"/>
        </w:rPr>
      </w:pPr>
      <w:r w:rsidRPr="00EF5169">
        <w:rPr>
          <w:rFonts w:ascii="Titillium" w:hAnsi="Titillium"/>
          <w:b/>
          <w:i/>
          <w:color w:val="002060"/>
          <w:sz w:val="20"/>
          <w:szCs w:val="20"/>
        </w:rPr>
        <w:t>Eventuale documentazione da allegare</w:t>
      </w:r>
    </w:p>
    <w:p w14:paraId="14CAF319" w14:textId="77777777" w:rsidR="001D03A9" w:rsidRPr="00EF5169" w:rsidRDefault="001D03A9" w:rsidP="001D03A9">
      <w:pPr>
        <w:spacing w:line="360" w:lineRule="auto"/>
        <w:rPr>
          <w:rFonts w:ascii="Titillium" w:hAnsi="Titillium"/>
          <w:color w:val="002060"/>
          <w:sz w:val="20"/>
          <w:szCs w:val="20"/>
        </w:rPr>
      </w:pPr>
      <w:r w:rsidRPr="00EF5169">
        <w:rPr>
          <w:rFonts w:ascii="Titillium" w:hAnsi="Titillium"/>
          <w:color w:val="002060"/>
          <w:sz w:val="20"/>
          <w:szCs w:val="20"/>
        </w:rPr>
        <w:t xml:space="preserve">Non si ritiene necessario allegare alcuna documentazione specifica </w:t>
      </w:r>
    </w:p>
    <w:sectPr w:rsidR="001D03A9" w:rsidRPr="00EF5169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0941" w14:textId="77777777" w:rsidR="00060E18" w:rsidRDefault="00060E18">
      <w:pPr>
        <w:spacing w:after="0" w:line="240" w:lineRule="auto"/>
      </w:pPr>
      <w:r>
        <w:separator/>
      </w:r>
    </w:p>
  </w:endnote>
  <w:endnote w:type="continuationSeparator" w:id="0">
    <w:p w14:paraId="38F5B820" w14:textId="77777777" w:rsidR="00060E18" w:rsidRDefault="0006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1E34" w14:textId="77777777" w:rsidR="00060E18" w:rsidRDefault="00060E18">
      <w:pPr>
        <w:spacing w:after="0" w:line="240" w:lineRule="auto"/>
      </w:pPr>
      <w:r>
        <w:separator/>
      </w:r>
    </w:p>
  </w:footnote>
  <w:footnote w:type="continuationSeparator" w:id="0">
    <w:p w14:paraId="3294F99B" w14:textId="77777777" w:rsidR="00060E18" w:rsidRDefault="0006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206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1147DCD2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CEF301F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4F15C1D8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0BA583C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EC7E5C"/>
    <w:multiLevelType w:val="hybridMultilevel"/>
    <w:tmpl w:val="0D5E33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D7EFA"/>
    <w:multiLevelType w:val="hybridMultilevel"/>
    <w:tmpl w:val="399EB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23"/>
    <w:rsid w:val="00002A6B"/>
    <w:rsid w:val="0002023A"/>
    <w:rsid w:val="0003262A"/>
    <w:rsid w:val="00040F20"/>
    <w:rsid w:val="00060E18"/>
    <w:rsid w:val="000658C7"/>
    <w:rsid w:val="000F2C0E"/>
    <w:rsid w:val="000F591B"/>
    <w:rsid w:val="00115D63"/>
    <w:rsid w:val="0016468A"/>
    <w:rsid w:val="001D03A9"/>
    <w:rsid w:val="0024134D"/>
    <w:rsid w:val="00277C83"/>
    <w:rsid w:val="00283109"/>
    <w:rsid w:val="002C572E"/>
    <w:rsid w:val="002D3768"/>
    <w:rsid w:val="002F665B"/>
    <w:rsid w:val="00316AFC"/>
    <w:rsid w:val="003B66F4"/>
    <w:rsid w:val="003C642D"/>
    <w:rsid w:val="003E1CF5"/>
    <w:rsid w:val="0041405A"/>
    <w:rsid w:val="00416AD0"/>
    <w:rsid w:val="00473EB6"/>
    <w:rsid w:val="0048249A"/>
    <w:rsid w:val="004833D5"/>
    <w:rsid w:val="004B002C"/>
    <w:rsid w:val="004F18CD"/>
    <w:rsid w:val="005952A6"/>
    <w:rsid w:val="005C3137"/>
    <w:rsid w:val="005D645D"/>
    <w:rsid w:val="0060106A"/>
    <w:rsid w:val="00633F39"/>
    <w:rsid w:val="006C1B2A"/>
    <w:rsid w:val="006E496C"/>
    <w:rsid w:val="007052EA"/>
    <w:rsid w:val="00713BFD"/>
    <w:rsid w:val="007A107C"/>
    <w:rsid w:val="008178DC"/>
    <w:rsid w:val="00837860"/>
    <w:rsid w:val="0085206C"/>
    <w:rsid w:val="00861FE1"/>
    <w:rsid w:val="008876D0"/>
    <w:rsid w:val="008A0378"/>
    <w:rsid w:val="008D40D9"/>
    <w:rsid w:val="00955140"/>
    <w:rsid w:val="009A5646"/>
    <w:rsid w:val="009C05D1"/>
    <w:rsid w:val="009C6FAC"/>
    <w:rsid w:val="00A52DF7"/>
    <w:rsid w:val="00AD02D2"/>
    <w:rsid w:val="00AF75F8"/>
    <w:rsid w:val="00AF790D"/>
    <w:rsid w:val="00C27B23"/>
    <w:rsid w:val="00C32BE7"/>
    <w:rsid w:val="00D27496"/>
    <w:rsid w:val="00E750F4"/>
    <w:rsid w:val="00EF5169"/>
    <w:rsid w:val="00F47514"/>
    <w:rsid w:val="00FB42F1"/>
    <w:rsid w:val="00FC7906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8C95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3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roccadipapa.rm.it/bandi-di-gar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une.roccadipapa.rm.it/amministrazione-trasparen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mune.roccadipapa.rm.it/patrimonio-immobiliare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roccadipapa.rm.it/bilancio-preventivo-e-consuntiv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Francesca Fondi</cp:lastModifiedBy>
  <cp:revision>2</cp:revision>
  <cp:lastPrinted>2018-02-28T15:30:00Z</cp:lastPrinted>
  <dcterms:created xsi:type="dcterms:W3CDTF">2021-06-23T10:01:00Z</dcterms:created>
  <dcterms:modified xsi:type="dcterms:W3CDTF">2021-06-23T10:01:00Z</dcterms:modified>
</cp:coreProperties>
</file>